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21E5" w14:textId="77777777" w:rsidR="009832CC" w:rsidRDefault="009832CC" w:rsidP="009832CC">
      <w:pPr>
        <w:widowControl/>
        <w:jc w:val="left"/>
        <w:rPr>
          <w:rFonts w:eastAsia="仿宋_GB2312"/>
          <w:sz w:val="32"/>
          <w:szCs w:val="32"/>
          <w:shd w:val="clear" w:color="auto" w:fill="FFFFFF" w:themeFill="background1"/>
        </w:rPr>
      </w:pPr>
      <w:r>
        <w:rPr>
          <w:rFonts w:eastAsia="黑体"/>
          <w:sz w:val="32"/>
          <w:szCs w:val="32"/>
          <w:shd w:val="clear" w:color="auto" w:fill="FFFFFF" w:themeFill="background1"/>
        </w:rPr>
        <w:t>附件</w:t>
      </w:r>
      <w:r>
        <w:rPr>
          <w:rFonts w:eastAsia="黑体"/>
          <w:sz w:val="32"/>
          <w:szCs w:val="32"/>
          <w:shd w:val="clear" w:color="auto" w:fill="FFFFFF" w:themeFill="background1"/>
        </w:rPr>
        <w:t>1</w:t>
      </w:r>
    </w:p>
    <w:p w14:paraId="36D10B2F" w14:textId="77777777" w:rsidR="009832CC" w:rsidRDefault="009832CC" w:rsidP="009832CC">
      <w:pPr>
        <w:spacing w:line="440" w:lineRule="exact"/>
        <w:rPr>
          <w:rFonts w:eastAsia="黑体"/>
          <w:sz w:val="32"/>
          <w:szCs w:val="32"/>
          <w:shd w:val="clear" w:color="auto" w:fill="FFFFFF" w:themeFill="background1"/>
        </w:rPr>
      </w:pPr>
    </w:p>
    <w:p w14:paraId="0CA6DE5F" w14:textId="77777777" w:rsidR="009832CC" w:rsidRDefault="009832CC" w:rsidP="009832CC">
      <w:pPr>
        <w:spacing w:line="720" w:lineRule="exact"/>
        <w:jc w:val="center"/>
        <w:rPr>
          <w:b/>
          <w:sz w:val="44"/>
          <w:szCs w:val="44"/>
          <w:shd w:val="clear" w:color="auto" w:fill="FFFFFF" w:themeFill="background1"/>
        </w:rPr>
      </w:pPr>
      <w:r>
        <w:rPr>
          <w:b/>
          <w:sz w:val="44"/>
          <w:szCs w:val="44"/>
          <w:shd w:val="clear" w:color="auto" w:fill="FFFFFF" w:themeFill="background1"/>
        </w:rPr>
        <w:t>林学与风景园林学院本科教学工作量核算方法</w:t>
      </w:r>
    </w:p>
    <w:p w14:paraId="78ADA33F" w14:textId="77777777" w:rsidR="009832CC" w:rsidRDefault="009832CC" w:rsidP="009832CC">
      <w:pPr>
        <w:spacing w:line="580" w:lineRule="exact"/>
        <w:ind w:firstLineChars="200" w:firstLine="640"/>
        <w:rPr>
          <w:rFonts w:eastAsia="黑体"/>
          <w:sz w:val="32"/>
          <w:szCs w:val="32"/>
          <w:shd w:val="clear" w:color="auto" w:fill="FFFFFF" w:themeFill="background1"/>
        </w:rPr>
      </w:pPr>
      <w:r>
        <w:rPr>
          <w:rFonts w:eastAsia="黑体"/>
          <w:sz w:val="32"/>
          <w:szCs w:val="32"/>
          <w:shd w:val="clear" w:color="auto" w:fill="FFFFFF" w:themeFill="background1"/>
        </w:rPr>
        <w:t>一、计算原则</w:t>
      </w:r>
    </w:p>
    <w:p w14:paraId="385CA5B1"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本科教学工作主要包括理论课程教学、实验课程教学、实践教学、课外指导、教育教学改革与研究项目和教学公益工作共</w:t>
      </w:r>
      <w:r>
        <w:rPr>
          <w:rFonts w:eastAsia="仿宋_GB2312"/>
          <w:sz w:val="32"/>
          <w:szCs w:val="32"/>
          <w:shd w:val="clear" w:color="auto" w:fill="FFFFFF" w:themeFill="background1"/>
        </w:rPr>
        <w:t>6</w:t>
      </w:r>
      <w:r>
        <w:rPr>
          <w:rFonts w:eastAsia="仿宋_GB2312"/>
          <w:sz w:val="32"/>
          <w:szCs w:val="32"/>
          <w:shd w:val="clear" w:color="auto" w:fill="FFFFFF" w:themeFill="background1"/>
        </w:rPr>
        <w:t>部分组成。</w:t>
      </w:r>
    </w:p>
    <w:p w14:paraId="554D503D"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计算的基本原则：</w:t>
      </w:r>
    </w:p>
    <w:p w14:paraId="120C254E"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 xml:space="preserve">1. </w:t>
      </w:r>
      <w:r>
        <w:rPr>
          <w:rFonts w:eastAsia="仿宋_GB2312"/>
          <w:sz w:val="32"/>
          <w:szCs w:val="32"/>
          <w:shd w:val="clear" w:color="auto" w:fill="FFFFFF" w:themeFill="background1"/>
        </w:rPr>
        <w:t>理论课程、实验课程和实践教学工作量以教务部门下达的教学任务为计算依据。</w:t>
      </w:r>
    </w:p>
    <w:p w14:paraId="76FFDF73"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 xml:space="preserve">2. </w:t>
      </w:r>
      <w:r>
        <w:rPr>
          <w:rFonts w:eastAsia="仿宋_GB2312"/>
          <w:sz w:val="32"/>
          <w:szCs w:val="32"/>
          <w:shd w:val="clear" w:color="auto" w:fill="FFFFFF" w:themeFill="background1"/>
        </w:rPr>
        <w:t>计划学时是指由教务部门根据人才培养方案下达教学任务书规定的学时。</w:t>
      </w:r>
    </w:p>
    <w:p w14:paraId="512C2EDF"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 xml:space="preserve">3. </w:t>
      </w:r>
      <w:r>
        <w:rPr>
          <w:rFonts w:eastAsia="仿宋_GB2312"/>
          <w:sz w:val="32"/>
          <w:szCs w:val="32"/>
          <w:shd w:val="clear" w:color="auto" w:fill="FFFFFF" w:themeFill="background1"/>
        </w:rPr>
        <w:t>理论课程和实验课程的教学班均以</w:t>
      </w:r>
      <w:r>
        <w:rPr>
          <w:rFonts w:eastAsia="仿宋_GB2312"/>
          <w:sz w:val="32"/>
          <w:szCs w:val="32"/>
          <w:shd w:val="clear" w:color="auto" w:fill="FFFFFF" w:themeFill="background1"/>
        </w:rPr>
        <w:t>30</w:t>
      </w:r>
      <w:r>
        <w:rPr>
          <w:rFonts w:eastAsia="仿宋_GB2312"/>
          <w:sz w:val="32"/>
          <w:szCs w:val="32"/>
          <w:shd w:val="clear" w:color="auto" w:fill="FFFFFF" w:themeFill="background1"/>
        </w:rPr>
        <w:t>人为</w:t>
      </w:r>
      <w:r>
        <w:rPr>
          <w:rFonts w:eastAsia="仿宋_GB2312"/>
          <w:sz w:val="32"/>
          <w:szCs w:val="32"/>
          <w:shd w:val="clear" w:color="auto" w:fill="FFFFFF" w:themeFill="background1"/>
        </w:rPr>
        <w:t>1</w:t>
      </w:r>
      <w:r>
        <w:rPr>
          <w:rFonts w:eastAsia="仿宋_GB2312"/>
          <w:sz w:val="32"/>
          <w:szCs w:val="32"/>
          <w:shd w:val="clear" w:color="auto" w:fill="FFFFFF" w:themeFill="background1"/>
        </w:rPr>
        <w:t>个标准班，人数不足</w:t>
      </w:r>
      <w:r>
        <w:rPr>
          <w:rFonts w:eastAsia="仿宋_GB2312"/>
          <w:sz w:val="32"/>
          <w:szCs w:val="32"/>
          <w:shd w:val="clear" w:color="auto" w:fill="FFFFFF" w:themeFill="background1"/>
        </w:rPr>
        <w:t>30</w:t>
      </w:r>
      <w:r>
        <w:rPr>
          <w:rFonts w:eastAsia="仿宋_GB2312"/>
          <w:sz w:val="32"/>
          <w:szCs w:val="32"/>
          <w:shd w:val="clear" w:color="auto" w:fill="FFFFFF" w:themeFill="background1"/>
        </w:rPr>
        <w:t>人的，按</w:t>
      </w:r>
      <w:r>
        <w:rPr>
          <w:rFonts w:eastAsia="仿宋_GB2312"/>
          <w:sz w:val="32"/>
          <w:szCs w:val="32"/>
          <w:shd w:val="clear" w:color="auto" w:fill="FFFFFF" w:themeFill="background1"/>
        </w:rPr>
        <w:t>1</w:t>
      </w:r>
      <w:r>
        <w:rPr>
          <w:rFonts w:eastAsia="仿宋_GB2312"/>
          <w:sz w:val="32"/>
          <w:szCs w:val="32"/>
          <w:shd w:val="clear" w:color="auto" w:fill="FFFFFF" w:themeFill="background1"/>
        </w:rPr>
        <w:t>个标准班计算。</w:t>
      </w:r>
    </w:p>
    <w:p w14:paraId="270EF0AA" w14:textId="77777777" w:rsidR="009832CC" w:rsidRDefault="009832CC" w:rsidP="009832CC">
      <w:pPr>
        <w:spacing w:line="580" w:lineRule="exact"/>
        <w:ind w:firstLineChars="200" w:firstLine="640"/>
        <w:rPr>
          <w:rFonts w:eastAsia="黑体"/>
          <w:sz w:val="32"/>
          <w:szCs w:val="32"/>
          <w:shd w:val="clear" w:color="auto" w:fill="FFFFFF" w:themeFill="background1"/>
        </w:rPr>
      </w:pPr>
      <w:r>
        <w:rPr>
          <w:rFonts w:eastAsia="黑体"/>
          <w:sz w:val="32"/>
          <w:szCs w:val="32"/>
          <w:shd w:val="clear" w:color="auto" w:fill="FFFFFF" w:themeFill="background1"/>
        </w:rPr>
        <w:t>二、计算办法</w:t>
      </w:r>
    </w:p>
    <w:p w14:paraId="03336076"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vertAlign w:val="subscript"/>
        </w:rPr>
      </w:pPr>
      <w:r>
        <w:rPr>
          <w:rFonts w:eastAsia="仿宋_GB2312"/>
          <w:sz w:val="32"/>
          <w:szCs w:val="32"/>
          <w:shd w:val="clear" w:color="auto" w:fill="FFFFFF" w:themeFill="background1"/>
        </w:rPr>
        <w:t>教学工作总量（</w:t>
      </w:r>
      <w:r>
        <w:rPr>
          <w:rFonts w:eastAsia="仿宋_GB2312"/>
          <w:sz w:val="32"/>
          <w:szCs w:val="32"/>
          <w:shd w:val="clear" w:color="auto" w:fill="FFFFFF" w:themeFill="background1"/>
        </w:rPr>
        <w:t>T</w:t>
      </w:r>
      <w:r>
        <w:rPr>
          <w:rFonts w:eastAsia="仿宋_GB2312"/>
          <w:sz w:val="32"/>
          <w:szCs w:val="32"/>
          <w:shd w:val="clear" w:color="auto" w:fill="FFFFFF" w:themeFill="background1"/>
        </w:rPr>
        <w:t>）计算公式为：</w:t>
      </w:r>
      <w:r>
        <w:rPr>
          <w:rFonts w:eastAsia="仿宋_GB2312"/>
          <w:sz w:val="32"/>
          <w:szCs w:val="32"/>
          <w:shd w:val="clear" w:color="auto" w:fill="FFFFFF" w:themeFill="background1"/>
        </w:rPr>
        <w:t>T=T</w:t>
      </w:r>
      <w:r>
        <w:rPr>
          <w:rFonts w:eastAsia="仿宋_GB2312"/>
          <w:sz w:val="32"/>
          <w:szCs w:val="32"/>
          <w:shd w:val="clear" w:color="auto" w:fill="FFFFFF" w:themeFill="background1"/>
          <w:vertAlign w:val="subscript"/>
        </w:rPr>
        <w:t>1</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2</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3</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4</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5</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6</w:t>
      </w:r>
    </w:p>
    <w:p w14:paraId="650832E8"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其中：</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1</w:t>
      </w:r>
      <w:r>
        <w:rPr>
          <w:rFonts w:eastAsia="仿宋_GB2312"/>
          <w:sz w:val="32"/>
          <w:szCs w:val="32"/>
          <w:shd w:val="clear" w:color="auto" w:fill="FFFFFF" w:themeFill="background1"/>
        </w:rPr>
        <w:t>为理论课程教学工作量；</w:t>
      </w:r>
    </w:p>
    <w:p w14:paraId="0695D64A" w14:textId="77777777" w:rsidR="009832CC" w:rsidRDefault="009832CC" w:rsidP="009832CC">
      <w:pPr>
        <w:adjustRightInd w:val="0"/>
        <w:snapToGrid w:val="0"/>
        <w:spacing w:line="580" w:lineRule="exact"/>
        <w:ind w:firstLineChars="510" w:firstLine="1632"/>
        <w:rPr>
          <w:rFonts w:eastAsia="仿宋_GB2312"/>
          <w:sz w:val="32"/>
          <w:szCs w:val="32"/>
          <w:shd w:val="clear" w:color="auto" w:fill="FFFFFF" w:themeFill="background1"/>
        </w:rPr>
      </w:pP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2</w:t>
      </w:r>
      <w:r>
        <w:rPr>
          <w:rFonts w:eastAsia="仿宋_GB2312"/>
          <w:sz w:val="32"/>
          <w:szCs w:val="32"/>
          <w:shd w:val="clear" w:color="auto" w:fill="FFFFFF" w:themeFill="background1"/>
        </w:rPr>
        <w:t>为实验课程教学工作量；</w:t>
      </w:r>
    </w:p>
    <w:p w14:paraId="3D4A7D7F" w14:textId="77777777" w:rsidR="009832CC" w:rsidRDefault="009832CC" w:rsidP="009832CC">
      <w:pPr>
        <w:adjustRightInd w:val="0"/>
        <w:snapToGrid w:val="0"/>
        <w:spacing w:line="580" w:lineRule="exact"/>
        <w:ind w:leftChars="337" w:left="708" w:firstLineChars="287" w:firstLine="918"/>
        <w:rPr>
          <w:rFonts w:eastAsia="仿宋_GB2312"/>
          <w:sz w:val="32"/>
          <w:szCs w:val="32"/>
          <w:shd w:val="clear" w:color="auto" w:fill="FFFFFF" w:themeFill="background1"/>
        </w:rPr>
      </w:pP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3</w:t>
      </w:r>
      <w:r>
        <w:rPr>
          <w:rFonts w:eastAsia="仿宋_GB2312"/>
          <w:sz w:val="32"/>
          <w:szCs w:val="32"/>
          <w:shd w:val="clear" w:color="auto" w:fill="FFFFFF" w:themeFill="background1"/>
        </w:rPr>
        <w:t>为实践教学工作量，包括指导课程设计、课程实习、毕业实习、社会调查和指导毕业论文（设计）；</w:t>
      </w:r>
    </w:p>
    <w:p w14:paraId="6DBD35D8" w14:textId="77777777" w:rsidR="009832CC" w:rsidRDefault="009832CC" w:rsidP="009832CC">
      <w:pPr>
        <w:adjustRightInd w:val="0"/>
        <w:snapToGrid w:val="0"/>
        <w:spacing w:line="580" w:lineRule="exact"/>
        <w:ind w:leftChars="337" w:left="708" w:firstLineChars="288" w:firstLine="922"/>
        <w:rPr>
          <w:rFonts w:eastAsia="仿宋_GB2312"/>
          <w:sz w:val="32"/>
          <w:szCs w:val="32"/>
          <w:shd w:val="clear" w:color="auto" w:fill="FFFFFF" w:themeFill="background1"/>
        </w:rPr>
      </w:pP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4</w:t>
      </w:r>
      <w:r>
        <w:rPr>
          <w:rFonts w:eastAsia="仿宋_GB2312"/>
          <w:sz w:val="32"/>
          <w:szCs w:val="32"/>
          <w:shd w:val="clear" w:color="auto" w:fill="FFFFFF" w:themeFill="background1"/>
        </w:rPr>
        <w:t>为课外指导工作量，包括指导创新创业项目和指导校运动队训练参赛；</w:t>
      </w:r>
    </w:p>
    <w:p w14:paraId="0EC78EF7" w14:textId="77777777" w:rsidR="009832CC" w:rsidRDefault="009832CC" w:rsidP="009832CC">
      <w:pPr>
        <w:adjustRightInd w:val="0"/>
        <w:snapToGrid w:val="0"/>
        <w:spacing w:line="580" w:lineRule="exact"/>
        <w:ind w:leftChars="337" w:left="708" w:firstLineChars="288" w:firstLine="922"/>
        <w:rPr>
          <w:rFonts w:eastAsia="仿宋_GB2312"/>
          <w:sz w:val="32"/>
          <w:szCs w:val="32"/>
          <w:shd w:val="clear" w:color="auto" w:fill="FFFFFF" w:themeFill="background1"/>
        </w:rPr>
      </w:pPr>
      <w:r>
        <w:rPr>
          <w:rFonts w:eastAsia="仿宋_GB2312"/>
          <w:sz w:val="32"/>
          <w:szCs w:val="32"/>
          <w:shd w:val="clear" w:color="auto" w:fill="FFFFFF" w:themeFill="background1"/>
        </w:rPr>
        <w:lastRenderedPageBreak/>
        <w:t>T</w:t>
      </w:r>
      <w:r>
        <w:rPr>
          <w:rFonts w:eastAsia="仿宋_GB2312"/>
          <w:sz w:val="32"/>
          <w:szCs w:val="32"/>
          <w:shd w:val="clear" w:color="auto" w:fill="FFFFFF" w:themeFill="background1"/>
          <w:vertAlign w:val="subscript"/>
        </w:rPr>
        <w:t>5</w:t>
      </w:r>
      <w:r>
        <w:rPr>
          <w:rFonts w:eastAsia="仿宋_GB2312"/>
          <w:sz w:val="32"/>
          <w:szCs w:val="32"/>
          <w:shd w:val="clear" w:color="auto" w:fill="FFFFFF" w:themeFill="background1"/>
        </w:rPr>
        <w:t>为教育教学改革与研究项目工作量，包括教材编写、教学项目和研究课题；</w:t>
      </w:r>
    </w:p>
    <w:p w14:paraId="18C45800" w14:textId="77777777" w:rsidR="009832CC" w:rsidRDefault="009832CC" w:rsidP="009832CC">
      <w:pPr>
        <w:adjustRightInd w:val="0"/>
        <w:snapToGrid w:val="0"/>
        <w:spacing w:line="580" w:lineRule="exact"/>
        <w:ind w:firstLineChars="510" w:firstLine="1632"/>
        <w:rPr>
          <w:rFonts w:eastAsia="仿宋_GB2312"/>
          <w:sz w:val="32"/>
          <w:szCs w:val="32"/>
          <w:shd w:val="clear" w:color="auto" w:fill="FFFFFF" w:themeFill="background1"/>
        </w:rPr>
      </w:pP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6</w:t>
      </w:r>
      <w:r>
        <w:rPr>
          <w:rFonts w:eastAsia="仿宋_GB2312"/>
          <w:sz w:val="32"/>
          <w:szCs w:val="32"/>
          <w:shd w:val="clear" w:color="auto" w:fill="FFFFFF" w:themeFill="background1"/>
        </w:rPr>
        <w:t>为教学公益工作量。</w:t>
      </w:r>
    </w:p>
    <w:p w14:paraId="3F70A94E"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林学类（包括林学、森林保护、草业科学、野生动物与自然保护区管理、中药资源与开发等专业和花卉教研室）和设计类（包括风景园林、园林、城乡规划和旅游管理等专业）的</w:t>
      </w:r>
      <w:r>
        <w:rPr>
          <w:rFonts w:eastAsia="仿宋_GB2312"/>
          <w:sz w:val="32"/>
          <w:szCs w:val="32"/>
          <w:shd w:val="clear" w:color="auto" w:fill="FFFFFF" w:themeFill="background1"/>
        </w:rPr>
        <w:t>T</w:t>
      </w:r>
      <w:r>
        <w:rPr>
          <w:rFonts w:eastAsia="仿宋_GB2312"/>
          <w:sz w:val="32"/>
          <w:szCs w:val="32"/>
          <w:shd w:val="clear" w:color="auto" w:fill="FFFFFF" w:themeFill="background1"/>
        </w:rPr>
        <w:t>值分别由高到低排序，后</w:t>
      </w:r>
      <w:r>
        <w:rPr>
          <w:rFonts w:eastAsia="仿宋_GB2312"/>
          <w:sz w:val="32"/>
          <w:szCs w:val="32"/>
          <w:shd w:val="clear" w:color="auto" w:fill="FFFFFF" w:themeFill="background1"/>
        </w:rPr>
        <w:t>10%</w:t>
      </w:r>
      <w:r>
        <w:rPr>
          <w:rFonts w:eastAsia="仿宋_GB2312"/>
          <w:sz w:val="32"/>
          <w:szCs w:val="32"/>
          <w:shd w:val="clear" w:color="auto" w:fill="FFFFFF" w:themeFill="background1"/>
        </w:rPr>
        <w:t>的平均</w:t>
      </w:r>
      <w:r>
        <w:rPr>
          <w:rFonts w:eastAsia="仿宋_GB2312"/>
          <w:sz w:val="32"/>
          <w:szCs w:val="32"/>
          <w:shd w:val="clear" w:color="auto" w:fill="FFFFFF" w:themeFill="background1"/>
        </w:rPr>
        <w:t>T</w:t>
      </w:r>
      <w:r>
        <w:rPr>
          <w:rFonts w:eastAsia="仿宋_GB2312"/>
          <w:sz w:val="32"/>
          <w:szCs w:val="32"/>
          <w:shd w:val="clear" w:color="auto" w:fill="FFFFFF" w:themeFill="background1"/>
        </w:rPr>
        <w:t>值作为基本工作量</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0</w:t>
      </w:r>
      <w:r>
        <w:rPr>
          <w:rFonts w:eastAsia="仿宋_GB2312"/>
          <w:sz w:val="32"/>
          <w:szCs w:val="32"/>
          <w:shd w:val="clear" w:color="auto" w:fill="FFFFFF" w:themeFill="background1"/>
        </w:rPr>
        <w:t>，低于</w:t>
      </w:r>
      <w:r>
        <w:rPr>
          <w:rFonts w:eastAsia="仿宋_GB2312"/>
          <w:sz w:val="32"/>
          <w:szCs w:val="32"/>
          <w:shd w:val="clear" w:color="auto" w:fill="FFFFFF" w:themeFill="background1"/>
        </w:rPr>
        <w:t>T</w:t>
      </w:r>
      <w:r>
        <w:rPr>
          <w:rFonts w:eastAsia="仿宋_GB2312"/>
          <w:sz w:val="32"/>
          <w:szCs w:val="32"/>
          <w:shd w:val="clear" w:color="auto" w:fill="FFFFFF" w:themeFill="background1"/>
          <w:vertAlign w:val="subscript"/>
        </w:rPr>
        <w:t xml:space="preserve">0 </w:t>
      </w:r>
      <w:r>
        <w:rPr>
          <w:rFonts w:eastAsia="仿宋_GB2312"/>
          <w:sz w:val="32"/>
          <w:szCs w:val="32"/>
          <w:shd w:val="clear" w:color="auto" w:fill="FFFFFF" w:themeFill="background1"/>
        </w:rPr>
        <w:t>的，按教学工作量</w:t>
      </w:r>
      <w:r>
        <w:rPr>
          <w:rFonts w:eastAsia="仿宋_GB2312"/>
          <w:sz w:val="32"/>
          <w:szCs w:val="32"/>
          <w:shd w:val="clear" w:color="auto" w:fill="FFFFFF" w:themeFill="background1"/>
        </w:rPr>
        <w:t>T×0.5</w:t>
      </w:r>
      <w:r>
        <w:rPr>
          <w:rFonts w:eastAsia="仿宋_GB2312"/>
          <w:sz w:val="32"/>
          <w:szCs w:val="32"/>
          <w:shd w:val="clear" w:color="auto" w:fill="FFFFFF" w:themeFill="background1"/>
        </w:rPr>
        <w:t>核算。</w:t>
      </w:r>
    </w:p>
    <w:p w14:paraId="601BDCBE"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（一）理论课程教学工作量（</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1</w:t>
      </w:r>
      <w:r>
        <w:rPr>
          <w:rFonts w:eastAsia="楷体"/>
          <w:sz w:val="32"/>
          <w:szCs w:val="32"/>
          <w:shd w:val="clear" w:color="auto" w:fill="FFFFFF" w:themeFill="background1"/>
        </w:rPr>
        <w:t>）</w:t>
      </w:r>
    </w:p>
    <w:p w14:paraId="27F042D6"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理论课程教学工作包括按课程教学大纲要求进行的备课、授课、辅导答疑、批改作业、考查或考试命题及阅卷等环节。</w:t>
      </w:r>
    </w:p>
    <w:p w14:paraId="4740CF1A"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1. </w:t>
      </w:r>
      <w:r>
        <w:rPr>
          <w:rFonts w:eastAsia="仿宋_GB2312"/>
          <w:b/>
          <w:sz w:val="32"/>
          <w:szCs w:val="32"/>
          <w:shd w:val="clear" w:color="auto" w:fill="FFFFFF" w:themeFill="background1"/>
        </w:rPr>
        <w:t>理论课程教学</w:t>
      </w:r>
    </w:p>
    <w:p w14:paraId="1C55FD9A"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w:t>
      </w:r>
      <w:r>
        <w:rPr>
          <w:rFonts w:eastAsia="仿宋_GB2312"/>
          <w:sz w:val="32"/>
          <w:szCs w:val="32"/>
          <w:shd w:val="clear" w:color="auto" w:fill="FFFFFF" w:themeFill="background1"/>
        </w:rPr>
        <w:t>=</w:t>
      </w:r>
      <w:r>
        <w:rPr>
          <w:rFonts w:eastAsia="仿宋_GB2312"/>
          <w:sz w:val="32"/>
          <w:szCs w:val="32"/>
          <w:shd w:val="clear" w:color="auto" w:fill="FFFFFF" w:themeFill="background1"/>
        </w:rPr>
        <w:t>课程计划学时</w:t>
      </w:r>
      <w:r>
        <w:rPr>
          <w:rFonts w:eastAsia="仿宋_GB2312"/>
          <w:sz w:val="32"/>
          <w:szCs w:val="32"/>
          <w:shd w:val="clear" w:color="auto" w:fill="FFFFFF" w:themeFill="background1"/>
        </w:rPr>
        <w:t>×</w:t>
      </w:r>
      <w:r>
        <w:rPr>
          <w:rFonts w:eastAsia="仿宋_GB2312"/>
          <w:sz w:val="32"/>
          <w:szCs w:val="32"/>
          <w:shd w:val="clear" w:color="auto" w:fill="FFFFFF" w:themeFill="background1"/>
        </w:rPr>
        <w:t>〔</w:t>
      </w:r>
      <w:r>
        <w:rPr>
          <w:rFonts w:eastAsia="仿宋_GB2312"/>
          <w:sz w:val="32"/>
          <w:szCs w:val="32"/>
          <w:shd w:val="clear" w:color="auto" w:fill="FFFFFF" w:themeFill="background1"/>
        </w:rPr>
        <w:t>1+(</w:t>
      </w:r>
      <w:r>
        <w:rPr>
          <w:rFonts w:eastAsia="仿宋_GB2312"/>
          <w:sz w:val="32"/>
          <w:szCs w:val="32"/>
          <w:shd w:val="clear" w:color="auto" w:fill="FFFFFF" w:themeFill="background1"/>
        </w:rPr>
        <w:t>教学班人数</w:t>
      </w:r>
      <w:r>
        <w:rPr>
          <w:rFonts w:eastAsia="仿宋_GB2312"/>
          <w:sz w:val="32"/>
          <w:szCs w:val="32"/>
          <w:shd w:val="clear" w:color="auto" w:fill="FFFFFF" w:themeFill="background1"/>
        </w:rPr>
        <w:t>-30)×1.0%</w:t>
      </w:r>
      <w:r>
        <w:rPr>
          <w:rFonts w:eastAsia="仿宋_GB2312"/>
          <w:sz w:val="32"/>
          <w:szCs w:val="32"/>
          <w:shd w:val="clear" w:color="auto" w:fill="FFFFFF" w:themeFill="background1"/>
        </w:rPr>
        <w:t>〕</w:t>
      </w:r>
      <w:r>
        <w:rPr>
          <w:rFonts w:eastAsia="仿宋_GB2312"/>
          <w:sz w:val="32"/>
          <w:szCs w:val="32"/>
          <w:shd w:val="clear" w:color="auto" w:fill="FFFFFF" w:themeFill="background1"/>
        </w:rPr>
        <w:t>×</w:t>
      </w:r>
      <w:r>
        <w:rPr>
          <w:rFonts w:eastAsia="仿宋_GB2312"/>
          <w:sz w:val="32"/>
          <w:szCs w:val="32"/>
          <w:shd w:val="clear" w:color="auto" w:fill="FFFFFF" w:themeFill="background1"/>
        </w:rPr>
        <w:t>课程系数</w:t>
      </w:r>
    </w:p>
    <w:p w14:paraId="29EEB8AA"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2. </w:t>
      </w:r>
      <w:r>
        <w:rPr>
          <w:rFonts w:eastAsia="仿宋_GB2312"/>
          <w:b/>
          <w:sz w:val="32"/>
          <w:szCs w:val="32"/>
          <w:shd w:val="clear" w:color="auto" w:fill="FFFFFF" w:themeFill="background1"/>
        </w:rPr>
        <w:t>参加课程监考</w:t>
      </w:r>
    </w:p>
    <w:p w14:paraId="462F22AE"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w:t>
      </w:r>
      <w:r>
        <w:rPr>
          <w:rFonts w:eastAsia="仿宋_GB2312"/>
          <w:sz w:val="32"/>
          <w:szCs w:val="32"/>
          <w:shd w:val="clear" w:color="auto" w:fill="FFFFFF" w:themeFill="background1"/>
        </w:rPr>
        <w:t>=</w:t>
      </w:r>
      <w:r>
        <w:rPr>
          <w:rFonts w:eastAsia="仿宋_GB2312"/>
          <w:sz w:val="32"/>
          <w:szCs w:val="32"/>
          <w:shd w:val="clear" w:color="auto" w:fill="FFFFFF" w:themeFill="background1"/>
        </w:rPr>
        <w:t>监考次数</w:t>
      </w:r>
      <w:r>
        <w:rPr>
          <w:rFonts w:eastAsia="仿宋_GB2312"/>
          <w:sz w:val="32"/>
          <w:szCs w:val="32"/>
          <w:shd w:val="clear" w:color="auto" w:fill="FFFFFF" w:themeFill="background1"/>
        </w:rPr>
        <w:t>×2</w:t>
      </w:r>
    </w:p>
    <w:p w14:paraId="19524DA5"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说明：</w:t>
      </w:r>
    </w:p>
    <w:p w14:paraId="05798405"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w:t>
      </w:r>
      <w:r>
        <w:rPr>
          <w:rFonts w:eastAsia="仿宋_GB2312"/>
          <w:sz w:val="32"/>
          <w:szCs w:val="32"/>
          <w:shd w:val="clear" w:color="auto" w:fill="FFFFFF" w:themeFill="background1"/>
        </w:rPr>
        <w:t>1</w:t>
      </w:r>
      <w:r>
        <w:rPr>
          <w:rFonts w:eastAsia="仿宋_GB2312"/>
          <w:sz w:val="32"/>
          <w:szCs w:val="32"/>
          <w:shd w:val="clear" w:color="auto" w:fill="FFFFFF" w:themeFill="background1"/>
        </w:rPr>
        <w:t>）课程系数：全英教学（英语专业除外）课程系数为</w:t>
      </w:r>
      <w:r>
        <w:rPr>
          <w:rFonts w:eastAsia="仿宋_GB2312"/>
          <w:sz w:val="32"/>
          <w:szCs w:val="32"/>
          <w:shd w:val="clear" w:color="auto" w:fill="FFFFFF" w:themeFill="background1"/>
        </w:rPr>
        <w:t>2.0</w:t>
      </w:r>
      <w:r>
        <w:rPr>
          <w:rFonts w:eastAsia="仿宋_GB2312"/>
          <w:sz w:val="32"/>
          <w:szCs w:val="32"/>
          <w:shd w:val="clear" w:color="auto" w:fill="FFFFFF" w:themeFill="background1"/>
        </w:rPr>
        <w:t>；其它课程为</w:t>
      </w:r>
      <w:r>
        <w:rPr>
          <w:rFonts w:eastAsia="仿宋_GB2312"/>
          <w:sz w:val="32"/>
          <w:szCs w:val="32"/>
          <w:shd w:val="clear" w:color="auto" w:fill="FFFFFF" w:themeFill="background1"/>
        </w:rPr>
        <w:t>1.0</w:t>
      </w:r>
      <w:r>
        <w:rPr>
          <w:rFonts w:eastAsia="仿宋_GB2312"/>
          <w:sz w:val="32"/>
          <w:szCs w:val="32"/>
          <w:shd w:val="clear" w:color="auto" w:fill="FFFFFF" w:themeFill="background1"/>
        </w:rPr>
        <w:t>。</w:t>
      </w:r>
    </w:p>
    <w:p w14:paraId="21CA5576"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w:t>
      </w:r>
      <w:r>
        <w:rPr>
          <w:rFonts w:eastAsia="仿宋_GB2312"/>
          <w:sz w:val="32"/>
          <w:szCs w:val="32"/>
          <w:shd w:val="clear" w:color="auto" w:fill="FFFFFF" w:themeFill="background1"/>
        </w:rPr>
        <w:t>2</w:t>
      </w:r>
      <w:r>
        <w:rPr>
          <w:rFonts w:eastAsia="仿宋_GB2312"/>
          <w:sz w:val="32"/>
          <w:szCs w:val="32"/>
          <w:shd w:val="clear" w:color="auto" w:fill="FFFFFF" w:themeFill="background1"/>
        </w:rPr>
        <w:t>）由学校开出的全校性通识教育训练课程一周按</w:t>
      </w:r>
      <w:r>
        <w:rPr>
          <w:rFonts w:eastAsia="仿宋_GB2312"/>
          <w:sz w:val="32"/>
          <w:szCs w:val="32"/>
          <w:shd w:val="clear" w:color="auto" w:fill="FFFFFF" w:themeFill="background1"/>
        </w:rPr>
        <w:t>35</w:t>
      </w:r>
      <w:r>
        <w:rPr>
          <w:rFonts w:eastAsia="仿宋_GB2312"/>
          <w:sz w:val="32"/>
          <w:szCs w:val="32"/>
          <w:shd w:val="clear" w:color="auto" w:fill="FFFFFF" w:themeFill="background1"/>
        </w:rPr>
        <w:t>个工作量计算。</w:t>
      </w:r>
    </w:p>
    <w:p w14:paraId="6A3D58B2"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w:t>
      </w:r>
      <w:r>
        <w:rPr>
          <w:rFonts w:eastAsia="仿宋_GB2312"/>
          <w:sz w:val="32"/>
          <w:szCs w:val="32"/>
          <w:shd w:val="clear" w:color="auto" w:fill="FFFFFF" w:themeFill="background1"/>
        </w:rPr>
        <w:t>3</w:t>
      </w:r>
      <w:r>
        <w:rPr>
          <w:rFonts w:eastAsia="仿宋_GB2312"/>
          <w:sz w:val="32"/>
          <w:szCs w:val="32"/>
          <w:shd w:val="clear" w:color="auto" w:fill="FFFFFF" w:themeFill="background1"/>
        </w:rPr>
        <w:t>）理论课程教学</w:t>
      </w:r>
      <w:proofErr w:type="gramStart"/>
      <w:r>
        <w:rPr>
          <w:rFonts w:eastAsia="仿宋_GB2312"/>
          <w:sz w:val="32"/>
          <w:szCs w:val="32"/>
          <w:shd w:val="clear" w:color="auto" w:fill="FFFFFF" w:themeFill="background1"/>
        </w:rPr>
        <w:t>班人数</w:t>
      </w:r>
      <w:proofErr w:type="gramEnd"/>
      <w:r>
        <w:rPr>
          <w:rFonts w:eastAsia="仿宋_GB2312"/>
          <w:sz w:val="32"/>
          <w:szCs w:val="32"/>
          <w:shd w:val="clear" w:color="auto" w:fill="FFFFFF" w:themeFill="background1"/>
        </w:rPr>
        <w:t>不足</w:t>
      </w:r>
      <w:r>
        <w:rPr>
          <w:rFonts w:eastAsia="仿宋_GB2312"/>
          <w:sz w:val="32"/>
          <w:szCs w:val="32"/>
          <w:shd w:val="clear" w:color="auto" w:fill="FFFFFF" w:themeFill="background1"/>
        </w:rPr>
        <w:t>30</w:t>
      </w:r>
      <w:r>
        <w:rPr>
          <w:rFonts w:eastAsia="仿宋_GB2312"/>
          <w:sz w:val="32"/>
          <w:szCs w:val="32"/>
          <w:shd w:val="clear" w:color="auto" w:fill="FFFFFF" w:themeFill="background1"/>
        </w:rPr>
        <w:t>人的，算为一个班。</w:t>
      </w:r>
    </w:p>
    <w:p w14:paraId="4E8093C8"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（二）实验课程教学工作量（</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2</w:t>
      </w:r>
      <w:r>
        <w:rPr>
          <w:rFonts w:eastAsia="楷体"/>
          <w:sz w:val="32"/>
          <w:szCs w:val="32"/>
          <w:shd w:val="clear" w:color="auto" w:fill="FFFFFF" w:themeFill="background1"/>
        </w:rPr>
        <w:t>）</w:t>
      </w:r>
    </w:p>
    <w:p w14:paraId="35B247CF"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lastRenderedPageBreak/>
        <w:t>实验课程教学工作包括讲授、指导实验、批改实验报告、辅导答疑和考核等环节。</w:t>
      </w:r>
    </w:p>
    <w:p w14:paraId="1379961C"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w:t>
      </w:r>
      <w:r>
        <w:rPr>
          <w:rFonts w:eastAsia="仿宋_GB2312"/>
          <w:sz w:val="32"/>
          <w:szCs w:val="32"/>
          <w:shd w:val="clear" w:color="auto" w:fill="FFFFFF" w:themeFill="background1"/>
        </w:rPr>
        <w:t>=</w:t>
      </w:r>
      <w:r>
        <w:rPr>
          <w:rFonts w:eastAsia="仿宋_GB2312"/>
          <w:sz w:val="32"/>
          <w:szCs w:val="32"/>
          <w:shd w:val="clear" w:color="auto" w:fill="FFFFFF" w:themeFill="background1"/>
        </w:rPr>
        <w:t>实验课程计划学时</w:t>
      </w:r>
      <w:r>
        <w:rPr>
          <w:rFonts w:eastAsia="仿宋_GB2312"/>
          <w:sz w:val="32"/>
          <w:szCs w:val="32"/>
          <w:shd w:val="clear" w:color="auto" w:fill="FFFFFF" w:themeFill="background1"/>
        </w:rPr>
        <w:t>×</w:t>
      </w:r>
      <w:r>
        <w:rPr>
          <w:rFonts w:eastAsia="仿宋_GB2312"/>
          <w:sz w:val="32"/>
          <w:szCs w:val="32"/>
          <w:shd w:val="clear" w:color="auto" w:fill="FFFFFF" w:themeFill="background1"/>
        </w:rPr>
        <w:t>〔</w:t>
      </w:r>
      <w:r>
        <w:rPr>
          <w:rFonts w:eastAsia="仿宋_GB2312"/>
          <w:sz w:val="32"/>
          <w:szCs w:val="32"/>
          <w:shd w:val="clear" w:color="auto" w:fill="FFFFFF" w:themeFill="background1"/>
        </w:rPr>
        <w:t>1+(</w:t>
      </w:r>
      <w:r>
        <w:rPr>
          <w:rFonts w:eastAsia="仿宋_GB2312"/>
          <w:sz w:val="32"/>
          <w:szCs w:val="32"/>
          <w:shd w:val="clear" w:color="auto" w:fill="FFFFFF" w:themeFill="background1"/>
        </w:rPr>
        <w:t>教学班人数</w:t>
      </w:r>
      <w:r>
        <w:rPr>
          <w:rFonts w:eastAsia="仿宋_GB2312"/>
          <w:sz w:val="32"/>
          <w:szCs w:val="32"/>
          <w:shd w:val="clear" w:color="auto" w:fill="FFFFFF" w:themeFill="background1"/>
        </w:rPr>
        <w:t>-30)×1.0%</w:t>
      </w:r>
      <w:r>
        <w:rPr>
          <w:rFonts w:eastAsia="仿宋_GB2312"/>
          <w:sz w:val="32"/>
          <w:szCs w:val="32"/>
          <w:shd w:val="clear" w:color="auto" w:fill="FFFFFF" w:themeFill="background1"/>
        </w:rPr>
        <w:t>〕</w:t>
      </w:r>
    </w:p>
    <w:p w14:paraId="3A8075B5"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实验课程教学</w:t>
      </w:r>
      <w:proofErr w:type="gramStart"/>
      <w:r>
        <w:rPr>
          <w:rFonts w:eastAsia="仿宋_GB2312"/>
          <w:sz w:val="32"/>
          <w:szCs w:val="32"/>
          <w:shd w:val="clear" w:color="auto" w:fill="FFFFFF" w:themeFill="background1"/>
        </w:rPr>
        <w:t>班人数</w:t>
      </w:r>
      <w:proofErr w:type="gramEnd"/>
      <w:r>
        <w:rPr>
          <w:rFonts w:eastAsia="仿宋_GB2312"/>
          <w:sz w:val="32"/>
          <w:szCs w:val="32"/>
          <w:shd w:val="clear" w:color="auto" w:fill="FFFFFF" w:themeFill="background1"/>
        </w:rPr>
        <w:t>不足</w:t>
      </w:r>
      <w:r>
        <w:rPr>
          <w:rFonts w:eastAsia="仿宋_GB2312"/>
          <w:sz w:val="32"/>
          <w:szCs w:val="32"/>
          <w:shd w:val="clear" w:color="auto" w:fill="FFFFFF" w:themeFill="background1"/>
        </w:rPr>
        <w:t>30</w:t>
      </w:r>
      <w:r>
        <w:rPr>
          <w:rFonts w:eastAsia="仿宋_GB2312"/>
          <w:sz w:val="32"/>
          <w:szCs w:val="32"/>
          <w:shd w:val="clear" w:color="auto" w:fill="FFFFFF" w:themeFill="background1"/>
        </w:rPr>
        <w:t>人的，算为一个班。</w:t>
      </w:r>
    </w:p>
    <w:p w14:paraId="6D3069CE"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（三）实践教学工作量（</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3</w:t>
      </w:r>
      <w:r>
        <w:rPr>
          <w:rFonts w:eastAsia="楷体"/>
          <w:sz w:val="32"/>
          <w:szCs w:val="32"/>
          <w:shd w:val="clear" w:color="auto" w:fill="FFFFFF" w:themeFill="background1"/>
        </w:rPr>
        <w:t>）</w:t>
      </w:r>
    </w:p>
    <w:p w14:paraId="755807DB"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实践教学工作包括指导课程设计、课程实习、毕业实习、社会调查和指导毕业论文（设计）。</w:t>
      </w:r>
    </w:p>
    <w:p w14:paraId="4D325EDC"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1. </w:t>
      </w:r>
      <w:r>
        <w:rPr>
          <w:rFonts w:eastAsia="仿宋_GB2312"/>
          <w:b/>
          <w:sz w:val="32"/>
          <w:szCs w:val="32"/>
          <w:shd w:val="clear" w:color="auto" w:fill="FFFFFF" w:themeFill="background1"/>
        </w:rPr>
        <w:t>指导课程设计、课程实习、毕业实习、社会调查</w:t>
      </w:r>
    </w:p>
    <w:p w14:paraId="206DF2F8"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课程设计（论文）工作包括选题、指导、评阅等环节；实习工作包括实习准备、实习指导、批改实习报告、考核、教学总结等环节。</w:t>
      </w:r>
    </w:p>
    <w:p w14:paraId="350ECDCA"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全程跟踪实习工作量＝计划天数</w:t>
      </w:r>
      <w:r>
        <w:rPr>
          <w:rFonts w:eastAsia="仿宋_GB2312"/>
          <w:sz w:val="32"/>
          <w:szCs w:val="32"/>
          <w:shd w:val="clear" w:color="auto" w:fill="FFFFFF" w:themeFill="background1"/>
        </w:rPr>
        <w:t>×3×</w:t>
      </w:r>
      <w:r>
        <w:rPr>
          <w:rFonts w:eastAsia="仿宋_GB2312"/>
          <w:sz w:val="32"/>
          <w:szCs w:val="32"/>
          <w:shd w:val="clear" w:color="auto" w:fill="FFFFFF" w:themeFill="background1"/>
        </w:rPr>
        <w:t>班级数（若分组，每组</w:t>
      </w:r>
      <w:r>
        <w:rPr>
          <w:rFonts w:eastAsia="仿宋_GB2312"/>
          <w:sz w:val="32"/>
          <w:szCs w:val="32"/>
          <w:shd w:val="clear" w:color="auto" w:fill="FFFFFF" w:themeFill="background1"/>
        </w:rPr>
        <w:t>≥15</w:t>
      </w:r>
      <w:r>
        <w:rPr>
          <w:rFonts w:eastAsia="仿宋_GB2312"/>
          <w:sz w:val="32"/>
          <w:szCs w:val="32"/>
          <w:shd w:val="clear" w:color="auto" w:fill="FFFFFF" w:themeFill="background1"/>
        </w:rPr>
        <w:t>人的组按一个班级计算）</w:t>
      </w:r>
    </w:p>
    <w:p w14:paraId="13F992FB"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非全程跟踪实习工作量＝计划天数</w:t>
      </w:r>
      <w:r>
        <w:rPr>
          <w:rFonts w:eastAsia="仿宋_GB2312"/>
          <w:sz w:val="32"/>
          <w:szCs w:val="32"/>
          <w:shd w:val="clear" w:color="auto" w:fill="FFFFFF" w:themeFill="background1"/>
        </w:rPr>
        <w:t>×1.5×</w:t>
      </w:r>
      <w:r>
        <w:rPr>
          <w:rFonts w:eastAsia="仿宋_GB2312"/>
          <w:sz w:val="32"/>
          <w:szCs w:val="32"/>
          <w:shd w:val="clear" w:color="auto" w:fill="FFFFFF" w:themeFill="background1"/>
        </w:rPr>
        <w:t>班级数（若分组，每组</w:t>
      </w:r>
      <w:r>
        <w:rPr>
          <w:rFonts w:eastAsia="仿宋_GB2312"/>
          <w:sz w:val="32"/>
          <w:szCs w:val="32"/>
          <w:shd w:val="clear" w:color="auto" w:fill="FFFFFF" w:themeFill="background1"/>
        </w:rPr>
        <w:t>≥15</w:t>
      </w:r>
      <w:r>
        <w:rPr>
          <w:rFonts w:eastAsia="仿宋_GB2312"/>
          <w:sz w:val="32"/>
          <w:szCs w:val="32"/>
          <w:shd w:val="clear" w:color="auto" w:fill="FFFFFF" w:themeFill="background1"/>
        </w:rPr>
        <w:t>人的组按一个班级计算）</w:t>
      </w:r>
    </w:p>
    <w:p w14:paraId="68885D6E"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2. </w:t>
      </w:r>
      <w:r>
        <w:rPr>
          <w:rFonts w:eastAsia="仿宋_GB2312"/>
          <w:b/>
          <w:sz w:val="32"/>
          <w:szCs w:val="32"/>
          <w:shd w:val="clear" w:color="auto" w:fill="FFFFFF" w:themeFill="background1"/>
        </w:rPr>
        <w:t>指导毕业论文（设计）</w:t>
      </w:r>
    </w:p>
    <w:p w14:paraId="52753248"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指导毕业论文（设计）包括开题、调查、研究、论文撰写、答疑、审阅、答辩等环节。以毕业论文答辩年度计算。</w:t>
      </w:r>
    </w:p>
    <w:p w14:paraId="7516CE84"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工作量＝指导学生数</w:t>
      </w:r>
      <w:r>
        <w:rPr>
          <w:rFonts w:eastAsia="仿宋_GB2312"/>
          <w:sz w:val="32"/>
          <w:szCs w:val="32"/>
          <w:shd w:val="clear" w:color="auto" w:fill="FFFFFF" w:themeFill="background1"/>
        </w:rPr>
        <w:t>×15</w:t>
      </w:r>
    </w:p>
    <w:p w14:paraId="06FDA068"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（四）课外指导（</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4</w:t>
      </w:r>
      <w:r>
        <w:rPr>
          <w:rFonts w:eastAsia="楷体"/>
          <w:sz w:val="32"/>
          <w:szCs w:val="32"/>
          <w:shd w:val="clear" w:color="auto" w:fill="FFFFFF" w:themeFill="background1"/>
        </w:rPr>
        <w:t>）</w:t>
      </w:r>
    </w:p>
    <w:p w14:paraId="4AFF7266"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课外指导工作包括指导创新项目、指导校运动队参加训练比赛。</w:t>
      </w:r>
    </w:p>
    <w:p w14:paraId="44D48ADF"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1. </w:t>
      </w:r>
      <w:r>
        <w:rPr>
          <w:rFonts w:eastAsia="仿宋_GB2312"/>
          <w:b/>
          <w:sz w:val="32"/>
          <w:szCs w:val="32"/>
          <w:shd w:val="clear" w:color="auto" w:fill="FFFFFF" w:themeFill="background1"/>
        </w:rPr>
        <w:t>指导学生科技创新项目</w:t>
      </w:r>
    </w:p>
    <w:p w14:paraId="28E0625B"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指导学生科技创新项目包括申报、研究、撰写结题报告</w:t>
      </w:r>
      <w:r>
        <w:rPr>
          <w:rFonts w:eastAsia="仿宋_GB2312"/>
          <w:sz w:val="32"/>
          <w:szCs w:val="32"/>
          <w:shd w:val="clear" w:color="auto" w:fill="FFFFFF" w:themeFill="background1"/>
        </w:rPr>
        <w:lastRenderedPageBreak/>
        <w:t>和结题论文等环节。以项目结题年度计算，每个项目只计算一次，多人指导同一项目不重复计算。</w:t>
      </w:r>
    </w:p>
    <w:p w14:paraId="432A12A0"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工作量＝项目数</w:t>
      </w:r>
      <w:r>
        <w:rPr>
          <w:rFonts w:eastAsia="仿宋_GB2312"/>
          <w:sz w:val="32"/>
          <w:szCs w:val="32"/>
          <w:shd w:val="clear" w:color="auto" w:fill="FFFFFF" w:themeFill="background1"/>
        </w:rPr>
        <w:t>×</w:t>
      </w:r>
      <w:r>
        <w:rPr>
          <w:rFonts w:eastAsia="仿宋_GB2312"/>
          <w:sz w:val="32"/>
          <w:szCs w:val="32"/>
          <w:shd w:val="clear" w:color="auto" w:fill="FFFFFF" w:themeFill="background1"/>
        </w:rPr>
        <w:t>项目系数</w:t>
      </w:r>
    </w:p>
    <w:p w14:paraId="40196E99"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项目系数：国家级</w:t>
      </w:r>
      <w:r>
        <w:rPr>
          <w:rFonts w:eastAsia="仿宋_GB2312"/>
          <w:sz w:val="32"/>
          <w:szCs w:val="32"/>
          <w:shd w:val="clear" w:color="auto" w:fill="FFFFFF" w:themeFill="background1"/>
        </w:rPr>
        <w:t>50</w:t>
      </w:r>
      <w:r>
        <w:rPr>
          <w:rFonts w:eastAsia="仿宋_GB2312"/>
          <w:sz w:val="32"/>
          <w:szCs w:val="32"/>
          <w:shd w:val="clear" w:color="auto" w:fill="FFFFFF" w:themeFill="background1"/>
        </w:rPr>
        <w:t>；省部级</w:t>
      </w:r>
      <w:r>
        <w:rPr>
          <w:rFonts w:eastAsia="仿宋_GB2312"/>
          <w:sz w:val="32"/>
          <w:szCs w:val="32"/>
          <w:shd w:val="clear" w:color="auto" w:fill="FFFFFF" w:themeFill="background1"/>
        </w:rPr>
        <w:t>30</w:t>
      </w:r>
      <w:r>
        <w:rPr>
          <w:rFonts w:eastAsia="仿宋_GB2312"/>
          <w:sz w:val="32"/>
          <w:szCs w:val="32"/>
          <w:shd w:val="clear" w:color="auto" w:fill="FFFFFF" w:themeFill="background1"/>
        </w:rPr>
        <w:t>；校级</w:t>
      </w:r>
      <w:r>
        <w:rPr>
          <w:rFonts w:eastAsia="仿宋_GB2312"/>
          <w:sz w:val="32"/>
          <w:szCs w:val="32"/>
          <w:shd w:val="clear" w:color="auto" w:fill="FFFFFF" w:themeFill="background1"/>
        </w:rPr>
        <w:t>15</w:t>
      </w:r>
    </w:p>
    <w:p w14:paraId="2AB4C1B2"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2. </w:t>
      </w:r>
      <w:r>
        <w:rPr>
          <w:rFonts w:eastAsia="仿宋_GB2312"/>
          <w:b/>
          <w:sz w:val="32"/>
          <w:szCs w:val="32"/>
          <w:shd w:val="clear" w:color="auto" w:fill="FFFFFF" w:themeFill="background1"/>
        </w:rPr>
        <w:t>指导校运动队参加训练比赛</w:t>
      </w:r>
    </w:p>
    <w:p w14:paraId="73778288"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工作量</w:t>
      </w:r>
      <w:r>
        <w:rPr>
          <w:rFonts w:eastAsia="仿宋_GB2312"/>
          <w:sz w:val="32"/>
          <w:szCs w:val="32"/>
          <w:shd w:val="clear" w:color="auto" w:fill="FFFFFF" w:themeFill="background1"/>
        </w:rPr>
        <w:t>=</w:t>
      </w:r>
      <w:r>
        <w:rPr>
          <w:rFonts w:eastAsia="仿宋_GB2312"/>
          <w:sz w:val="32"/>
          <w:szCs w:val="32"/>
          <w:shd w:val="clear" w:color="auto" w:fill="FFFFFF" w:themeFill="background1"/>
        </w:rPr>
        <w:t>运动员人数</w:t>
      </w:r>
      <w:r>
        <w:rPr>
          <w:rFonts w:eastAsia="仿宋_GB2312"/>
          <w:sz w:val="32"/>
          <w:szCs w:val="32"/>
          <w:shd w:val="clear" w:color="auto" w:fill="FFFFFF" w:themeFill="background1"/>
        </w:rPr>
        <w:t>×15</w:t>
      </w:r>
    </w:p>
    <w:p w14:paraId="4AD79670"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说明：</w:t>
      </w:r>
    </w:p>
    <w:p w14:paraId="4BB32A6B"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w:t>
      </w:r>
      <w:r>
        <w:rPr>
          <w:rFonts w:eastAsia="仿宋_GB2312"/>
          <w:sz w:val="32"/>
          <w:szCs w:val="32"/>
          <w:shd w:val="clear" w:color="auto" w:fill="FFFFFF" w:themeFill="background1"/>
        </w:rPr>
        <w:t>1</w:t>
      </w:r>
      <w:r>
        <w:rPr>
          <w:rFonts w:eastAsia="仿宋_GB2312"/>
          <w:sz w:val="32"/>
          <w:szCs w:val="32"/>
          <w:shd w:val="clear" w:color="auto" w:fill="FFFFFF" w:themeFill="background1"/>
        </w:rPr>
        <w:t>）指导校运动队参加训练比赛工作量是指教练员指导校队运动员集训和参加各类竞赛工作量。每个项目只计算一次，多人指导同一项目不重复计算。</w:t>
      </w:r>
    </w:p>
    <w:p w14:paraId="336F1BA5"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w:t>
      </w:r>
      <w:r>
        <w:rPr>
          <w:rFonts w:eastAsia="仿宋_GB2312"/>
          <w:sz w:val="32"/>
          <w:szCs w:val="32"/>
          <w:shd w:val="clear" w:color="auto" w:fill="FFFFFF" w:themeFill="background1"/>
        </w:rPr>
        <w:t>2</w:t>
      </w:r>
      <w:r>
        <w:rPr>
          <w:rFonts w:eastAsia="仿宋_GB2312"/>
          <w:sz w:val="32"/>
          <w:szCs w:val="32"/>
          <w:shd w:val="clear" w:color="auto" w:fill="FFFFFF" w:themeFill="background1"/>
        </w:rPr>
        <w:t>）人数按各运动项目竞赛规则规定报名人数的</w:t>
      </w:r>
      <w:r>
        <w:rPr>
          <w:rFonts w:eastAsia="仿宋_GB2312"/>
          <w:sz w:val="32"/>
          <w:szCs w:val="32"/>
          <w:shd w:val="clear" w:color="auto" w:fill="FFFFFF" w:themeFill="background1"/>
        </w:rPr>
        <w:t>1.5</w:t>
      </w:r>
      <w:r>
        <w:rPr>
          <w:rFonts w:eastAsia="仿宋_GB2312"/>
          <w:sz w:val="32"/>
          <w:szCs w:val="32"/>
          <w:shd w:val="clear" w:color="auto" w:fill="FFFFFF" w:themeFill="background1"/>
        </w:rPr>
        <w:t>倍计算。</w:t>
      </w:r>
    </w:p>
    <w:p w14:paraId="48845B70"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（五）教育教学改革与研究项目（</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5</w:t>
      </w:r>
      <w:r>
        <w:rPr>
          <w:rFonts w:eastAsia="楷体"/>
          <w:sz w:val="32"/>
          <w:szCs w:val="32"/>
          <w:shd w:val="clear" w:color="auto" w:fill="FFFFFF" w:themeFill="background1"/>
        </w:rPr>
        <w:t>）</w:t>
      </w:r>
    </w:p>
    <w:p w14:paraId="18B4B101"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教育教学改革与研究项目工作包括教材编写、教学项目和研究课题。重复立项的按最高级别计算；教材编写以出版教材年度计算；教学项目和研究课题以完成、结题年度计算。</w:t>
      </w:r>
    </w:p>
    <w:p w14:paraId="66F73A9E"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1. </w:t>
      </w:r>
      <w:r>
        <w:rPr>
          <w:rFonts w:eastAsia="仿宋_GB2312"/>
          <w:b/>
          <w:sz w:val="32"/>
          <w:szCs w:val="32"/>
          <w:shd w:val="clear" w:color="auto" w:fill="FFFFFF" w:themeFill="background1"/>
        </w:rPr>
        <w:t>教材编写教学工作量的计算方法</w:t>
      </w:r>
    </w:p>
    <w:p w14:paraId="3590B5A3"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教材编写工作量是指完成了编写各级（国家、省部、一般）规划立项教材（含实验、实习、习题集）的工作量。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924"/>
        <w:gridCol w:w="1892"/>
        <w:gridCol w:w="3042"/>
      </w:tblGrid>
      <w:tr w:rsidR="009832CC" w14:paraId="78A08BE3" w14:textId="77777777" w:rsidTr="00B6755E">
        <w:trPr>
          <w:jc w:val="center"/>
        </w:trPr>
        <w:tc>
          <w:tcPr>
            <w:tcW w:w="2624" w:type="dxa"/>
            <w:shd w:val="clear" w:color="auto" w:fill="auto"/>
            <w:vAlign w:val="center"/>
          </w:tcPr>
          <w:p w14:paraId="0B94F9D2"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级别</w:t>
            </w:r>
          </w:p>
        </w:tc>
        <w:tc>
          <w:tcPr>
            <w:tcW w:w="956" w:type="dxa"/>
            <w:shd w:val="clear" w:color="auto" w:fill="auto"/>
            <w:vAlign w:val="center"/>
          </w:tcPr>
          <w:p w14:paraId="6D40AB54"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主编</w:t>
            </w:r>
          </w:p>
        </w:tc>
        <w:tc>
          <w:tcPr>
            <w:tcW w:w="2004" w:type="dxa"/>
            <w:shd w:val="clear" w:color="auto" w:fill="auto"/>
            <w:vAlign w:val="center"/>
          </w:tcPr>
          <w:p w14:paraId="64F99EA3"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副主编</w:t>
            </w:r>
          </w:p>
        </w:tc>
        <w:tc>
          <w:tcPr>
            <w:tcW w:w="3261" w:type="dxa"/>
            <w:shd w:val="clear" w:color="auto" w:fill="auto"/>
            <w:vAlign w:val="center"/>
          </w:tcPr>
          <w:p w14:paraId="5747CD6C"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参编</w:t>
            </w:r>
          </w:p>
        </w:tc>
      </w:tr>
      <w:tr w:rsidR="009832CC" w14:paraId="3504E18B" w14:textId="77777777" w:rsidTr="00B6755E">
        <w:trPr>
          <w:jc w:val="center"/>
        </w:trPr>
        <w:tc>
          <w:tcPr>
            <w:tcW w:w="2624" w:type="dxa"/>
            <w:shd w:val="clear" w:color="auto" w:fill="auto"/>
            <w:vAlign w:val="center"/>
          </w:tcPr>
          <w:p w14:paraId="422373A2"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编写国家级规划教材</w:t>
            </w:r>
          </w:p>
        </w:tc>
        <w:tc>
          <w:tcPr>
            <w:tcW w:w="956" w:type="dxa"/>
            <w:shd w:val="clear" w:color="auto" w:fill="auto"/>
            <w:vAlign w:val="center"/>
          </w:tcPr>
          <w:p w14:paraId="6517E48B"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120</w:t>
            </w:r>
          </w:p>
        </w:tc>
        <w:tc>
          <w:tcPr>
            <w:tcW w:w="2004" w:type="dxa"/>
            <w:shd w:val="clear" w:color="auto" w:fill="auto"/>
            <w:vAlign w:val="center"/>
          </w:tcPr>
          <w:p w14:paraId="60A78867"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60</w:t>
            </w:r>
            <w:r>
              <w:rPr>
                <w:rFonts w:eastAsia="仿宋_GB2312"/>
                <w:sz w:val="24"/>
                <w:shd w:val="clear" w:color="auto" w:fill="FFFFFF" w:themeFill="background1"/>
              </w:rPr>
              <w:t>（主编为外校）</w:t>
            </w:r>
          </w:p>
        </w:tc>
        <w:tc>
          <w:tcPr>
            <w:tcW w:w="3261" w:type="dxa"/>
            <w:shd w:val="clear" w:color="auto" w:fill="auto"/>
            <w:vAlign w:val="center"/>
          </w:tcPr>
          <w:p w14:paraId="1628C471"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30</w:t>
            </w:r>
            <w:r>
              <w:rPr>
                <w:rFonts w:eastAsia="仿宋_GB2312"/>
                <w:sz w:val="24"/>
                <w:shd w:val="clear" w:color="auto" w:fill="FFFFFF" w:themeFill="background1"/>
              </w:rPr>
              <w:t>（主编、副主编均为外校）</w:t>
            </w:r>
          </w:p>
        </w:tc>
      </w:tr>
      <w:tr w:rsidR="009832CC" w14:paraId="29DC1F3C" w14:textId="77777777" w:rsidTr="00B6755E">
        <w:trPr>
          <w:jc w:val="center"/>
        </w:trPr>
        <w:tc>
          <w:tcPr>
            <w:tcW w:w="2624" w:type="dxa"/>
            <w:shd w:val="clear" w:color="auto" w:fill="auto"/>
            <w:vAlign w:val="center"/>
          </w:tcPr>
          <w:p w14:paraId="174D57B5"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编写省部级规划教材</w:t>
            </w:r>
          </w:p>
        </w:tc>
        <w:tc>
          <w:tcPr>
            <w:tcW w:w="956" w:type="dxa"/>
            <w:shd w:val="clear" w:color="auto" w:fill="auto"/>
            <w:vAlign w:val="center"/>
          </w:tcPr>
          <w:p w14:paraId="0D2A75CD"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60</w:t>
            </w:r>
          </w:p>
        </w:tc>
        <w:tc>
          <w:tcPr>
            <w:tcW w:w="2004" w:type="dxa"/>
            <w:shd w:val="clear" w:color="auto" w:fill="auto"/>
            <w:vAlign w:val="center"/>
          </w:tcPr>
          <w:p w14:paraId="30F5F20B"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30</w:t>
            </w:r>
            <w:r>
              <w:rPr>
                <w:rFonts w:eastAsia="仿宋_GB2312"/>
                <w:sz w:val="24"/>
                <w:shd w:val="clear" w:color="auto" w:fill="FFFFFF" w:themeFill="background1"/>
              </w:rPr>
              <w:t>（主编为外</w:t>
            </w:r>
            <w:r>
              <w:rPr>
                <w:rFonts w:eastAsia="仿宋_GB2312"/>
                <w:sz w:val="24"/>
                <w:shd w:val="clear" w:color="auto" w:fill="FFFFFF" w:themeFill="background1"/>
              </w:rPr>
              <w:lastRenderedPageBreak/>
              <w:t>校）</w:t>
            </w:r>
          </w:p>
        </w:tc>
        <w:tc>
          <w:tcPr>
            <w:tcW w:w="3261" w:type="dxa"/>
            <w:shd w:val="clear" w:color="auto" w:fill="auto"/>
            <w:vAlign w:val="center"/>
          </w:tcPr>
          <w:p w14:paraId="66536F27" w14:textId="77777777" w:rsidR="009832CC" w:rsidRDefault="009832CC" w:rsidP="00B6755E">
            <w:pPr>
              <w:spacing w:line="276" w:lineRule="auto"/>
              <w:jc w:val="center"/>
              <w:rPr>
                <w:rFonts w:eastAsia="仿宋_GB2312"/>
                <w:sz w:val="24"/>
                <w:shd w:val="clear" w:color="auto" w:fill="FFFFFF" w:themeFill="background1"/>
              </w:rPr>
            </w:pPr>
          </w:p>
        </w:tc>
      </w:tr>
      <w:tr w:rsidR="009832CC" w14:paraId="052BF301" w14:textId="77777777" w:rsidTr="00B6755E">
        <w:trPr>
          <w:jc w:val="center"/>
        </w:trPr>
        <w:tc>
          <w:tcPr>
            <w:tcW w:w="2624" w:type="dxa"/>
            <w:shd w:val="clear" w:color="auto" w:fill="auto"/>
            <w:vAlign w:val="center"/>
          </w:tcPr>
          <w:p w14:paraId="7CA70222"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编写一般教材</w:t>
            </w:r>
          </w:p>
        </w:tc>
        <w:tc>
          <w:tcPr>
            <w:tcW w:w="956" w:type="dxa"/>
            <w:shd w:val="clear" w:color="auto" w:fill="auto"/>
            <w:vAlign w:val="center"/>
          </w:tcPr>
          <w:p w14:paraId="2E09BB2D"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30</w:t>
            </w:r>
          </w:p>
        </w:tc>
        <w:tc>
          <w:tcPr>
            <w:tcW w:w="2004" w:type="dxa"/>
            <w:shd w:val="clear" w:color="auto" w:fill="auto"/>
            <w:vAlign w:val="center"/>
          </w:tcPr>
          <w:p w14:paraId="465E8BAF" w14:textId="77777777" w:rsidR="009832CC" w:rsidRDefault="009832CC" w:rsidP="00B6755E">
            <w:pPr>
              <w:spacing w:line="276" w:lineRule="auto"/>
              <w:jc w:val="center"/>
              <w:rPr>
                <w:rFonts w:eastAsia="仿宋_GB2312"/>
                <w:sz w:val="24"/>
                <w:shd w:val="clear" w:color="auto" w:fill="FFFFFF" w:themeFill="background1"/>
              </w:rPr>
            </w:pPr>
          </w:p>
        </w:tc>
        <w:tc>
          <w:tcPr>
            <w:tcW w:w="3261" w:type="dxa"/>
            <w:shd w:val="clear" w:color="auto" w:fill="auto"/>
            <w:vAlign w:val="center"/>
          </w:tcPr>
          <w:p w14:paraId="3421865A" w14:textId="77777777" w:rsidR="009832CC" w:rsidRDefault="009832CC" w:rsidP="00B6755E">
            <w:pPr>
              <w:spacing w:line="276" w:lineRule="auto"/>
              <w:jc w:val="center"/>
              <w:rPr>
                <w:rFonts w:eastAsia="仿宋_GB2312"/>
                <w:sz w:val="24"/>
                <w:shd w:val="clear" w:color="auto" w:fill="FFFFFF" w:themeFill="background1"/>
              </w:rPr>
            </w:pPr>
          </w:p>
        </w:tc>
      </w:tr>
    </w:tbl>
    <w:p w14:paraId="02162BB5"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（注：只给每种教材额定工作量，主编根据参与人实际工作情况统筹分配工作量）</w:t>
      </w:r>
    </w:p>
    <w:p w14:paraId="27977707" w14:textId="77777777" w:rsidR="009832CC" w:rsidRDefault="009832CC" w:rsidP="009832CC">
      <w:pPr>
        <w:adjustRightInd w:val="0"/>
        <w:snapToGrid w:val="0"/>
        <w:spacing w:line="580" w:lineRule="exact"/>
        <w:ind w:firstLineChars="200" w:firstLine="640"/>
        <w:rPr>
          <w:rFonts w:eastAsia="仿宋_GB2312"/>
          <w:b/>
          <w:sz w:val="32"/>
          <w:szCs w:val="32"/>
          <w:shd w:val="clear" w:color="auto" w:fill="FFFFFF" w:themeFill="background1"/>
        </w:rPr>
      </w:pPr>
      <w:r>
        <w:rPr>
          <w:rFonts w:eastAsia="仿宋_GB2312"/>
          <w:b/>
          <w:sz w:val="32"/>
          <w:szCs w:val="32"/>
          <w:shd w:val="clear" w:color="auto" w:fill="FFFFFF" w:themeFill="background1"/>
        </w:rPr>
        <w:t xml:space="preserve">2. </w:t>
      </w:r>
      <w:r>
        <w:rPr>
          <w:rFonts w:eastAsia="仿宋_GB2312"/>
          <w:b/>
          <w:sz w:val="32"/>
          <w:szCs w:val="32"/>
          <w:shd w:val="clear" w:color="auto" w:fill="FFFFFF" w:themeFill="background1"/>
        </w:rPr>
        <w:t>教学项目、研究课题工作量的计算办法</w:t>
      </w:r>
    </w:p>
    <w:p w14:paraId="78BE0AD4" w14:textId="77777777" w:rsidR="009832CC" w:rsidRDefault="009832CC" w:rsidP="009832CC">
      <w:pPr>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教学项目和研究课题工作量是指参加各级（国家、省部、学校）立项教学项目、研究课题的工作量。</w:t>
      </w:r>
    </w:p>
    <w:p w14:paraId="2DB25C34" w14:textId="77777777" w:rsidR="009832CC" w:rsidRDefault="009832CC" w:rsidP="009832CC">
      <w:pPr>
        <w:spacing w:line="580" w:lineRule="exact"/>
        <w:ind w:firstLineChars="200" w:firstLine="640"/>
        <w:rPr>
          <w:rFonts w:eastAsia="仿宋_GB2312"/>
          <w:sz w:val="32"/>
          <w:szCs w:val="32"/>
          <w:shd w:val="clear" w:color="auto" w:fill="FFFFFF" w:themeFill="background1"/>
        </w:rPr>
      </w:pPr>
    </w:p>
    <w:p w14:paraId="2E881407" w14:textId="77777777" w:rsidR="009832CC" w:rsidRDefault="009832CC" w:rsidP="009832CC">
      <w:pPr>
        <w:spacing w:line="580" w:lineRule="exact"/>
        <w:ind w:firstLineChars="200" w:firstLine="640"/>
        <w:rPr>
          <w:rFonts w:eastAsia="仿宋_GB2312"/>
          <w:sz w:val="32"/>
          <w:szCs w:val="32"/>
          <w:shd w:val="clear" w:color="auto" w:fill="FFFFFF" w:themeFill="background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1"/>
        <w:gridCol w:w="1755"/>
      </w:tblGrid>
      <w:tr w:rsidR="009832CC" w14:paraId="2B26702D" w14:textId="77777777" w:rsidTr="00B6755E">
        <w:trPr>
          <w:jc w:val="center"/>
        </w:trPr>
        <w:tc>
          <w:tcPr>
            <w:tcW w:w="5011" w:type="dxa"/>
            <w:shd w:val="clear" w:color="auto" w:fill="auto"/>
          </w:tcPr>
          <w:p w14:paraId="357521EB"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级别</w:t>
            </w:r>
          </w:p>
        </w:tc>
        <w:tc>
          <w:tcPr>
            <w:tcW w:w="1755" w:type="dxa"/>
            <w:shd w:val="clear" w:color="auto" w:fill="auto"/>
          </w:tcPr>
          <w:p w14:paraId="69A2F1E3"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主持人</w:t>
            </w:r>
          </w:p>
        </w:tc>
      </w:tr>
      <w:tr w:rsidR="009832CC" w14:paraId="216CA175" w14:textId="77777777" w:rsidTr="00B6755E">
        <w:trPr>
          <w:jc w:val="center"/>
        </w:trPr>
        <w:tc>
          <w:tcPr>
            <w:tcW w:w="5011" w:type="dxa"/>
            <w:shd w:val="clear" w:color="auto" w:fill="auto"/>
          </w:tcPr>
          <w:p w14:paraId="7CAA3899"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国家级教学项目、研究课题</w:t>
            </w:r>
          </w:p>
        </w:tc>
        <w:tc>
          <w:tcPr>
            <w:tcW w:w="1755" w:type="dxa"/>
            <w:shd w:val="clear" w:color="auto" w:fill="auto"/>
          </w:tcPr>
          <w:p w14:paraId="294A4603"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80</w:t>
            </w:r>
          </w:p>
        </w:tc>
      </w:tr>
      <w:tr w:rsidR="009832CC" w14:paraId="48264D4F" w14:textId="77777777" w:rsidTr="00B6755E">
        <w:trPr>
          <w:jc w:val="center"/>
        </w:trPr>
        <w:tc>
          <w:tcPr>
            <w:tcW w:w="5011" w:type="dxa"/>
            <w:shd w:val="clear" w:color="auto" w:fill="auto"/>
          </w:tcPr>
          <w:p w14:paraId="5F7ABA1A"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省部级教学项目、研究课题</w:t>
            </w:r>
          </w:p>
        </w:tc>
        <w:tc>
          <w:tcPr>
            <w:tcW w:w="1755" w:type="dxa"/>
            <w:shd w:val="clear" w:color="auto" w:fill="auto"/>
          </w:tcPr>
          <w:p w14:paraId="024264EB"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40</w:t>
            </w:r>
          </w:p>
        </w:tc>
      </w:tr>
      <w:tr w:rsidR="009832CC" w14:paraId="18DBED46" w14:textId="77777777" w:rsidTr="00B6755E">
        <w:trPr>
          <w:jc w:val="center"/>
        </w:trPr>
        <w:tc>
          <w:tcPr>
            <w:tcW w:w="5011" w:type="dxa"/>
            <w:shd w:val="clear" w:color="auto" w:fill="auto"/>
          </w:tcPr>
          <w:p w14:paraId="0070A38D"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校级教学项目、研究课题</w:t>
            </w:r>
          </w:p>
        </w:tc>
        <w:tc>
          <w:tcPr>
            <w:tcW w:w="1755" w:type="dxa"/>
            <w:shd w:val="clear" w:color="auto" w:fill="auto"/>
          </w:tcPr>
          <w:p w14:paraId="7C3F0626" w14:textId="77777777" w:rsidR="009832CC" w:rsidRDefault="009832CC" w:rsidP="00B6755E">
            <w:pPr>
              <w:spacing w:line="276" w:lineRule="auto"/>
              <w:jc w:val="center"/>
              <w:rPr>
                <w:rFonts w:eastAsia="仿宋_GB2312"/>
                <w:sz w:val="24"/>
                <w:shd w:val="clear" w:color="auto" w:fill="FFFFFF" w:themeFill="background1"/>
              </w:rPr>
            </w:pPr>
            <w:r>
              <w:rPr>
                <w:rFonts w:eastAsia="仿宋_GB2312"/>
                <w:sz w:val="24"/>
                <w:shd w:val="clear" w:color="auto" w:fill="FFFFFF" w:themeFill="background1"/>
              </w:rPr>
              <w:t>20</w:t>
            </w:r>
          </w:p>
        </w:tc>
      </w:tr>
    </w:tbl>
    <w:p w14:paraId="482A530C" w14:textId="77777777" w:rsidR="009832CC" w:rsidRDefault="009832CC" w:rsidP="009832CC">
      <w:pPr>
        <w:adjustRightInd w:val="0"/>
        <w:snapToGrid w:val="0"/>
        <w:spacing w:line="580" w:lineRule="exact"/>
        <w:ind w:firstLineChars="200" w:firstLine="640"/>
        <w:rPr>
          <w:rFonts w:eastAsia="仿宋_GB2312"/>
          <w:sz w:val="32"/>
          <w:szCs w:val="32"/>
          <w:shd w:val="clear" w:color="auto" w:fill="FFFFFF" w:themeFill="background1"/>
        </w:rPr>
      </w:pPr>
      <w:r>
        <w:rPr>
          <w:rFonts w:eastAsia="仿宋_GB2312"/>
          <w:sz w:val="32"/>
          <w:szCs w:val="32"/>
          <w:shd w:val="clear" w:color="auto" w:fill="FFFFFF" w:themeFill="background1"/>
        </w:rPr>
        <w:t>（注：只给每个项目额定工作量，项目主持人根据参与人实际工作情况统筹分配工作量）</w:t>
      </w:r>
    </w:p>
    <w:p w14:paraId="1AC0CB2E" w14:textId="77777777" w:rsidR="009832CC" w:rsidRDefault="009832CC" w:rsidP="009832CC">
      <w:pPr>
        <w:adjustRightInd w:val="0"/>
        <w:snapToGrid w:val="0"/>
        <w:spacing w:line="580" w:lineRule="exact"/>
        <w:ind w:firstLineChars="200" w:firstLine="640"/>
        <w:rPr>
          <w:rFonts w:eastAsia="楷体"/>
          <w:sz w:val="32"/>
          <w:szCs w:val="32"/>
          <w:shd w:val="clear" w:color="auto" w:fill="FFFFFF" w:themeFill="background1"/>
        </w:rPr>
      </w:pPr>
      <w:r>
        <w:rPr>
          <w:rFonts w:eastAsia="楷体"/>
          <w:sz w:val="32"/>
          <w:szCs w:val="32"/>
          <w:shd w:val="clear" w:color="auto" w:fill="FFFFFF" w:themeFill="background1"/>
        </w:rPr>
        <w:t>（六）教学公益工作量（</w:t>
      </w:r>
      <w:r>
        <w:rPr>
          <w:rFonts w:eastAsia="楷体"/>
          <w:sz w:val="32"/>
          <w:szCs w:val="32"/>
          <w:shd w:val="clear" w:color="auto" w:fill="FFFFFF" w:themeFill="background1"/>
        </w:rPr>
        <w:t>T</w:t>
      </w:r>
      <w:r>
        <w:rPr>
          <w:rFonts w:eastAsia="楷体"/>
          <w:sz w:val="32"/>
          <w:szCs w:val="32"/>
          <w:shd w:val="clear" w:color="auto" w:fill="FFFFFF" w:themeFill="background1"/>
          <w:vertAlign w:val="subscript"/>
        </w:rPr>
        <w:t>6</w:t>
      </w:r>
      <w:r>
        <w:rPr>
          <w:rFonts w:eastAsia="楷体"/>
          <w:sz w:val="32"/>
          <w:szCs w:val="32"/>
          <w:shd w:val="clear" w:color="auto" w:fill="FFFFFF" w:themeFill="background1"/>
        </w:rPr>
        <w:t>）</w:t>
      </w:r>
    </w:p>
    <w:p w14:paraId="713F52B0" w14:textId="77777777" w:rsidR="009832CC" w:rsidRDefault="009832CC" w:rsidP="009832CC">
      <w:pPr>
        <w:tabs>
          <w:tab w:val="left" w:pos="3435"/>
        </w:tabs>
        <w:spacing w:line="580" w:lineRule="exact"/>
        <w:ind w:firstLineChars="200" w:firstLine="640"/>
        <w:rPr>
          <w:rFonts w:eastAsia="仿宋_GB2312"/>
          <w:sz w:val="32"/>
          <w:szCs w:val="32"/>
          <w:shd w:val="clear" w:color="auto" w:fill="FFFFFF" w:themeFill="background1"/>
        </w:rPr>
      </w:pPr>
      <w:proofErr w:type="gramStart"/>
      <w:r>
        <w:rPr>
          <w:rFonts w:eastAsia="仿宋_GB2312"/>
          <w:sz w:val="32"/>
          <w:szCs w:val="32"/>
          <w:shd w:val="clear" w:color="auto" w:fill="FFFFFF" w:themeFill="background1"/>
        </w:rPr>
        <w:t>占教学总</w:t>
      </w:r>
      <w:proofErr w:type="gramEnd"/>
      <w:r>
        <w:rPr>
          <w:rFonts w:eastAsia="仿宋_GB2312"/>
          <w:sz w:val="32"/>
          <w:szCs w:val="32"/>
          <w:shd w:val="clear" w:color="auto" w:fill="FFFFFF" w:themeFill="background1"/>
        </w:rPr>
        <w:t>工作量的</w:t>
      </w:r>
      <w:r>
        <w:rPr>
          <w:rFonts w:eastAsia="仿宋_GB2312"/>
          <w:sz w:val="32"/>
          <w:szCs w:val="32"/>
          <w:shd w:val="clear" w:color="auto" w:fill="FFFFFF" w:themeFill="background1"/>
        </w:rPr>
        <w:t>5%</w:t>
      </w:r>
      <w:r>
        <w:rPr>
          <w:rFonts w:eastAsia="仿宋_GB2312"/>
          <w:sz w:val="32"/>
          <w:szCs w:val="32"/>
          <w:shd w:val="clear" w:color="auto" w:fill="FFFFFF" w:themeFill="background1"/>
        </w:rPr>
        <w:t>；主要包括本科生学业导师、校级教改项目评委、大学生创新项目评委、本科生毕业论文盲评、学院青年教师教学观摩大赛评委、本科生转专业和双学位笔试出题及改卷等，由学院根据实际情况进行分配。</w:t>
      </w:r>
    </w:p>
    <w:p w14:paraId="255425DF" w14:textId="77777777" w:rsidR="009832CC" w:rsidRDefault="009832CC" w:rsidP="009832CC">
      <w:pPr>
        <w:rPr>
          <w:shd w:val="clear" w:color="auto" w:fill="FFFFFF" w:themeFill="background1"/>
        </w:rPr>
      </w:pPr>
    </w:p>
    <w:p w14:paraId="283DA046" w14:textId="77777777" w:rsidR="009832CC" w:rsidRDefault="009832CC" w:rsidP="009832CC">
      <w:pPr>
        <w:spacing w:line="580" w:lineRule="exact"/>
        <w:ind w:firstLineChars="200" w:firstLine="720"/>
        <w:rPr>
          <w:sz w:val="36"/>
          <w:szCs w:val="36"/>
          <w:shd w:val="clear" w:color="auto" w:fill="FFFFFF" w:themeFill="background1"/>
        </w:rPr>
      </w:pPr>
    </w:p>
    <w:p w14:paraId="5F3A631D" w14:textId="77777777" w:rsidR="009832CC" w:rsidRDefault="009832CC" w:rsidP="009832CC">
      <w:pPr>
        <w:spacing w:line="580" w:lineRule="exact"/>
        <w:ind w:firstLineChars="200" w:firstLine="720"/>
        <w:rPr>
          <w:sz w:val="36"/>
          <w:szCs w:val="36"/>
          <w:shd w:val="clear" w:color="auto" w:fill="FFFFFF" w:themeFill="background1"/>
        </w:rPr>
      </w:pPr>
    </w:p>
    <w:p w14:paraId="54894D79" w14:textId="0EACC791" w:rsidR="003F6A12" w:rsidRPr="009832CC" w:rsidRDefault="003F6A12" w:rsidP="009832CC">
      <w:pPr>
        <w:widowControl/>
        <w:jc w:val="left"/>
        <w:rPr>
          <w:rFonts w:eastAsia="黑体" w:hint="eastAsia"/>
          <w:sz w:val="32"/>
          <w:szCs w:val="32"/>
          <w:shd w:val="clear" w:color="auto" w:fill="FFFFFF" w:themeFill="background1"/>
        </w:rPr>
      </w:pPr>
    </w:p>
    <w:sectPr w:rsidR="003F6A12" w:rsidRPr="00983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2CC"/>
    <w:rsid w:val="003F6A12"/>
    <w:rsid w:val="00983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B2C6"/>
  <w15:chartTrackingRefBased/>
  <w15:docId w15:val="{5BBCDCC8-C7B7-4262-A5E3-81A50C15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32C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育涵 王</dc:creator>
  <cp:keywords/>
  <dc:description/>
  <cp:lastModifiedBy>育涵 王</cp:lastModifiedBy>
  <cp:revision>1</cp:revision>
  <dcterms:created xsi:type="dcterms:W3CDTF">2023-10-09T07:47:00Z</dcterms:created>
  <dcterms:modified xsi:type="dcterms:W3CDTF">2023-10-09T07:49:00Z</dcterms:modified>
</cp:coreProperties>
</file>